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411A" w:rsidRDefault="00415590">
      <w:pPr>
        <w:spacing w:after="0" w:line="240" w:lineRule="auto"/>
        <w:contextualSpacing/>
        <w:jc w:val="right"/>
        <w:rPr>
          <w:rFonts w:ascii="Times New Roman" w:hAnsi="Times New Roman" w:cs="Times New Roman"/>
          <w:bCs/>
          <w:sz w:val="24"/>
          <w:szCs w:val="24"/>
        </w:rPr>
      </w:pPr>
      <w:bookmarkStart w:id="0" w:name="_Hlk173157934"/>
      <w:r>
        <w:rPr>
          <w:rFonts w:ascii="Times New Roman" w:hAnsi="Times New Roman" w:cs="Times New Roman"/>
          <w:bCs/>
          <w:sz w:val="24"/>
          <w:szCs w:val="24"/>
        </w:rPr>
        <w:t>1.pielikums</w:t>
      </w:r>
      <w:bookmarkEnd w:id="0"/>
    </w:p>
    <w:p w:rsidR="00D7411A" w:rsidRDefault="0041559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Tirgus izpētei</w:t>
      </w:r>
    </w:p>
    <w:p w:rsidR="00D7411A" w:rsidRDefault="0041559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“Ūdensapgādes atradnes “Partizānu (Balvi)“</w:t>
      </w:r>
    </w:p>
    <w:p w:rsidR="00D7411A" w:rsidRDefault="0041559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 xml:space="preserve"> urbumu </w:t>
      </w:r>
      <w:proofErr w:type="spellStart"/>
      <w:r>
        <w:rPr>
          <w:rFonts w:asciiTheme="majorBidi" w:hAnsiTheme="majorBidi" w:cstheme="majorBidi"/>
          <w:bCs/>
          <w:sz w:val="20"/>
          <w:szCs w:val="20"/>
        </w:rPr>
        <w:t>hidroģeotehniskās</w:t>
      </w:r>
      <w:proofErr w:type="spellEnd"/>
      <w:r>
        <w:rPr>
          <w:rFonts w:asciiTheme="majorBidi" w:hAnsiTheme="majorBidi" w:cstheme="majorBidi"/>
          <w:bCs/>
          <w:sz w:val="20"/>
          <w:szCs w:val="20"/>
        </w:rPr>
        <w:t>/hidroģeoloģiskās</w:t>
      </w:r>
    </w:p>
    <w:p w:rsidR="00D7411A" w:rsidRDefault="0041559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 xml:space="preserve"> izpētes veikšana un pārskata sagatavošana”</w:t>
      </w:r>
    </w:p>
    <w:p w:rsidR="00D7411A" w:rsidRDefault="0041559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(ID</w:t>
      </w:r>
      <w:r w:rsidR="006F0B1F">
        <w:rPr>
          <w:rFonts w:asciiTheme="majorBidi" w:hAnsiTheme="majorBidi" w:cstheme="majorBidi"/>
          <w:bCs/>
          <w:sz w:val="20"/>
          <w:szCs w:val="20"/>
        </w:rPr>
        <w:t xml:space="preserve"> </w:t>
      </w:r>
      <w:r>
        <w:rPr>
          <w:rFonts w:asciiTheme="majorBidi" w:hAnsiTheme="majorBidi" w:cstheme="majorBidi"/>
          <w:bCs/>
          <w:sz w:val="20"/>
          <w:szCs w:val="20"/>
        </w:rPr>
        <w:t>Nr.</w:t>
      </w:r>
      <w:r w:rsidR="006F0B1F">
        <w:rPr>
          <w:rFonts w:asciiTheme="majorBidi" w:hAnsiTheme="majorBidi" w:cstheme="majorBidi"/>
          <w:bCs/>
          <w:sz w:val="20"/>
          <w:szCs w:val="20"/>
        </w:rPr>
        <w:t xml:space="preserve"> </w:t>
      </w:r>
      <w:r w:rsidR="006F0B1F" w:rsidRPr="006F0B1F">
        <w:rPr>
          <w:rFonts w:asciiTheme="majorBidi" w:hAnsiTheme="majorBidi" w:cstheme="majorBidi"/>
          <w:bCs/>
          <w:sz w:val="20"/>
          <w:szCs w:val="20"/>
        </w:rPr>
        <w:t>SAN-TEX TI 2025/1</w:t>
      </w:r>
      <w:r>
        <w:rPr>
          <w:rFonts w:asciiTheme="majorBidi" w:hAnsiTheme="majorBidi" w:cstheme="majorBidi"/>
          <w:bCs/>
          <w:sz w:val="20"/>
          <w:szCs w:val="20"/>
        </w:rPr>
        <w:t>)</w:t>
      </w:r>
    </w:p>
    <w:p w:rsidR="00D7411A" w:rsidRDefault="00D7411A">
      <w:pPr>
        <w:spacing w:after="0" w:line="240" w:lineRule="auto"/>
        <w:contextualSpacing/>
        <w:jc w:val="both"/>
        <w:rPr>
          <w:rFonts w:ascii="Times New Roman" w:hAnsi="Times New Roman" w:cs="Times New Roman"/>
          <w:color w:val="000000"/>
        </w:rPr>
      </w:pPr>
    </w:p>
    <w:p w:rsidR="00D7411A" w:rsidRDefault="00415590">
      <w:pPr>
        <w:spacing w:after="0" w:line="240" w:lineRule="auto"/>
        <w:contextualSpacing/>
        <w:jc w:val="center"/>
        <w:rPr>
          <w:rFonts w:ascii="Times New Roman" w:hAnsi="Times New Roman" w:cs="Times New Roman"/>
          <w:b/>
          <w:bCs/>
          <w:strike/>
          <w:sz w:val="28"/>
          <w:szCs w:val="28"/>
        </w:rPr>
      </w:pPr>
      <w:bookmarkStart w:id="1" w:name="_Hlk173157900"/>
      <w:bookmarkStart w:id="2" w:name="_Hlk173157918"/>
      <w:r>
        <w:rPr>
          <w:rFonts w:ascii="Times New Roman" w:hAnsi="Times New Roman" w:cs="Times New Roman"/>
          <w:b/>
          <w:bCs/>
          <w:sz w:val="28"/>
          <w:szCs w:val="28"/>
        </w:rPr>
        <w:t>TEHNISKĀ SPECIFIKĀCIJA</w:t>
      </w:r>
      <w:bookmarkEnd w:id="1"/>
      <w:bookmarkEnd w:id="2"/>
    </w:p>
    <w:p w:rsidR="00D7411A" w:rsidRDefault="00415590">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 xml:space="preserve">“Ūdensapgādes atradnes “Partizānu (Balvi)“ urbumu </w:t>
      </w:r>
      <w:proofErr w:type="spellStart"/>
      <w:r>
        <w:rPr>
          <w:rFonts w:asciiTheme="majorBidi" w:hAnsiTheme="majorBidi" w:cstheme="majorBidi"/>
          <w:b/>
          <w:bCs/>
          <w:sz w:val="24"/>
          <w:szCs w:val="24"/>
        </w:rPr>
        <w:t>hidroģeotehniskās</w:t>
      </w:r>
      <w:proofErr w:type="spellEnd"/>
      <w:r>
        <w:rPr>
          <w:rFonts w:asciiTheme="majorBidi" w:hAnsiTheme="majorBidi" w:cstheme="majorBidi"/>
          <w:b/>
          <w:bCs/>
          <w:sz w:val="24"/>
          <w:szCs w:val="24"/>
        </w:rPr>
        <w:t>/hidroģeoloģiskās izpētes veikšana un pārskata sagatavošana”</w:t>
      </w:r>
    </w:p>
    <w:p w:rsidR="00D7411A" w:rsidRDefault="00415590">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(ID</w:t>
      </w:r>
      <w:r w:rsidR="006F0B1F">
        <w:rPr>
          <w:rFonts w:asciiTheme="majorBidi" w:hAnsiTheme="majorBidi" w:cstheme="majorBidi"/>
          <w:b/>
          <w:bCs/>
          <w:sz w:val="24"/>
          <w:szCs w:val="24"/>
        </w:rPr>
        <w:t xml:space="preserve"> </w:t>
      </w:r>
      <w:r>
        <w:rPr>
          <w:rFonts w:asciiTheme="majorBidi" w:hAnsiTheme="majorBidi" w:cstheme="majorBidi"/>
          <w:b/>
          <w:bCs/>
          <w:sz w:val="24"/>
          <w:szCs w:val="24"/>
        </w:rPr>
        <w:t>Nr</w:t>
      </w:r>
      <w:r w:rsidR="006F0B1F">
        <w:rPr>
          <w:rFonts w:asciiTheme="majorBidi" w:hAnsiTheme="majorBidi" w:cstheme="majorBidi"/>
          <w:b/>
          <w:bCs/>
          <w:sz w:val="24"/>
          <w:szCs w:val="24"/>
        </w:rPr>
        <w:t>.</w:t>
      </w:r>
      <w:r w:rsidR="006F0B1F" w:rsidRPr="006F0B1F">
        <w:t xml:space="preserve"> </w:t>
      </w:r>
      <w:r w:rsidR="006F0B1F" w:rsidRPr="006F0B1F">
        <w:rPr>
          <w:rFonts w:asciiTheme="majorBidi" w:hAnsiTheme="majorBidi" w:cstheme="majorBidi"/>
          <w:b/>
          <w:bCs/>
          <w:sz w:val="24"/>
          <w:szCs w:val="24"/>
        </w:rPr>
        <w:t>SAN-TEX TI 2025/1</w:t>
      </w:r>
      <w:r>
        <w:rPr>
          <w:rFonts w:asciiTheme="majorBidi" w:hAnsiTheme="majorBidi" w:cstheme="majorBidi"/>
          <w:b/>
          <w:bCs/>
          <w:sz w:val="24"/>
          <w:szCs w:val="24"/>
        </w:rPr>
        <w:t>)</w:t>
      </w:r>
    </w:p>
    <w:p w:rsidR="00D7411A" w:rsidRDefault="00D7411A">
      <w:pPr>
        <w:spacing w:after="0" w:line="240" w:lineRule="auto"/>
        <w:contextualSpacing/>
        <w:jc w:val="both"/>
        <w:rPr>
          <w:rFonts w:asciiTheme="majorBidi" w:hAnsiTheme="majorBidi" w:cstheme="majorBidi"/>
          <w:b/>
          <w:bCs/>
          <w:sz w:val="24"/>
          <w:szCs w:val="24"/>
        </w:rPr>
      </w:pPr>
    </w:p>
    <w:p w:rsidR="00D7411A" w:rsidRDefault="00D7411A">
      <w:pPr>
        <w:spacing w:after="0" w:line="240" w:lineRule="auto"/>
        <w:contextualSpacing/>
        <w:jc w:val="both"/>
        <w:rPr>
          <w:rFonts w:asciiTheme="majorBidi" w:hAnsiTheme="majorBidi" w:cstheme="majorBidi"/>
          <w:b/>
          <w:bCs/>
          <w:sz w:val="24"/>
          <w:szCs w:val="24"/>
        </w:rPr>
      </w:pPr>
    </w:p>
    <w:p w:rsidR="00D7411A" w:rsidRDefault="00415590">
      <w:pPr>
        <w:spacing w:after="0" w:line="240" w:lineRule="auto"/>
        <w:jc w:val="both"/>
        <w:rPr>
          <w:rFonts w:ascii="Times New Roman" w:eastAsia="Calibri" w:hAnsi="Times New Roman" w:cs="Times New Roman"/>
          <w:kern w:val="2"/>
          <w:sz w:val="24"/>
          <w:szCs w:val="24"/>
          <w:u w:val="single"/>
          <w:lang w:eastAsia="en-US"/>
        </w:rPr>
      </w:pPr>
      <w:r>
        <w:rPr>
          <w:rFonts w:ascii="Times New Roman" w:eastAsia="Calibri" w:hAnsi="Times New Roman" w:cs="Times New Roman"/>
          <w:b/>
          <w:kern w:val="2"/>
          <w:sz w:val="24"/>
          <w:szCs w:val="24"/>
          <w:u w:val="single"/>
          <w:lang w:eastAsia="en-US"/>
        </w:rPr>
        <w:t>Vispārīgā informācija</w:t>
      </w:r>
      <w:r>
        <w:rPr>
          <w:rFonts w:ascii="Times New Roman" w:eastAsia="Calibri" w:hAnsi="Times New Roman" w:cs="Times New Roman"/>
          <w:kern w:val="2"/>
          <w:sz w:val="24"/>
          <w:szCs w:val="24"/>
          <w:u w:val="single"/>
          <w:lang w:eastAsia="en-US"/>
        </w:rPr>
        <w:t xml:space="preserve">: </w:t>
      </w:r>
    </w:p>
    <w:p w:rsidR="00D7411A" w:rsidRDefault="00415590">
      <w:pPr>
        <w:spacing w:after="0" w:line="240" w:lineRule="auto"/>
        <w:ind w:firstLine="720"/>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H</w:t>
      </w:r>
      <w:bookmarkStart w:id="3" w:name="_Hlk180068301"/>
      <w:r>
        <w:rPr>
          <w:rFonts w:ascii="Times New Roman" w:eastAsia="Calibri" w:hAnsi="Times New Roman" w:cs="Times New Roman"/>
          <w:kern w:val="2"/>
          <w:sz w:val="24"/>
          <w:szCs w:val="24"/>
          <w:lang w:eastAsia="en-US"/>
        </w:rPr>
        <w:t>idroģeoloģisko</w:t>
      </w:r>
      <w:bookmarkEnd w:id="3"/>
      <w:r>
        <w:rPr>
          <w:rFonts w:ascii="Times New Roman" w:eastAsia="Calibri" w:hAnsi="Times New Roman" w:cs="Times New Roman"/>
          <w:kern w:val="2"/>
          <w:sz w:val="24"/>
          <w:szCs w:val="24"/>
          <w:lang w:eastAsia="en-US"/>
        </w:rPr>
        <w:t>/</w:t>
      </w:r>
      <w:proofErr w:type="spellStart"/>
      <w:r>
        <w:rPr>
          <w:rFonts w:ascii="Times New Roman" w:eastAsia="Calibri" w:hAnsi="Times New Roman" w:cs="Times New Roman"/>
          <w:kern w:val="2"/>
          <w:sz w:val="24"/>
          <w:szCs w:val="24"/>
          <w:lang w:eastAsia="en-US"/>
        </w:rPr>
        <w:t>hidroģeotehnisko</w:t>
      </w:r>
      <w:proofErr w:type="spellEnd"/>
      <w:r>
        <w:rPr>
          <w:rFonts w:ascii="Times New Roman" w:eastAsia="Calibri" w:hAnsi="Times New Roman" w:cs="Times New Roman"/>
          <w:kern w:val="2"/>
          <w:sz w:val="24"/>
          <w:szCs w:val="24"/>
          <w:lang w:eastAsia="en-US"/>
        </w:rPr>
        <w:t xml:space="preserve"> izpēti un pārskata sagatavošana jāveic Balvu novada pašvaldības aģentūras “SAN-TEX” pazemes ūdens atradnei “Partizānu (Balvi)”, </w:t>
      </w:r>
    </w:p>
    <w:p w:rsidR="00D7411A" w:rsidRDefault="00415590">
      <w:pPr>
        <w:spacing w:after="0" w:line="240" w:lineRule="auto"/>
        <w:ind w:firstLine="720"/>
        <w:jc w:val="both"/>
        <w:rPr>
          <w:rFonts w:ascii="Times New Roman" w:eastAsia="Calibri" w:hAnsi="Times New Roman" w:cs="Times New Roman"/>
          <w:kern w:val="2"/>
          <w:sz w:val="24"/>
          <w:szCs w:val="24"/>
          <w:lang w:eastAsia="en-US"/>
        </w:rPr>
      </w:pPr>
      <w:r>
        <w:rPr>
          <w:rFonts w:ascii="Times New Roman" w:eastAsia="Calibri" w:hAnsi="Times New Roman" w:cs="Times New Roman"/>
          <w:color w:val="000000"/>
          <w:spacing w:val="-4"/>
          <w:kern w:val="2"/>
          <w:sz w:val="24"/>
          <w:szCs w:val="24"/>
          <w:lang w:eastAsia="en-US"/>
        </w:rPr>
        <w:t xml:space="preserve">Objekta adrese: </w:t>
      </w:r>
      <w:r>
        <w:rPr>
          <w:rFonts w:ascii="Times New Roman" w:eastAsia="Calibri" w:hAnsi="Times New Roman" w:cs="Times New Roman"/>
          <w:kern w:val="2"/>
          <w:sz w:val="24"/>
          <w:szCs w:val="24"/>
          <w:lang w:eastAsia="en-US"/>
        </w:rPr>
        <w:t>Partizānu iela 68, Balvi, Balvu novads (kadastra Nr. 38010030342).</w:t>
      </w:r>
    </w:p>
    <w:p w:rsidR="00D7411A" w:rsidRDefault="00415590">
      <w:pPr>
        <w:spacing w:after="0" w:line="240" w:lineRule="auto"/>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ab/>
        <w:t xml:space="preserve">Pārskats jāsagatavo balstoties uz esošajiem trim ekspluatācijas urbumiem. </w:t>
      </w:r>
    </w:p>
    <w:p w:rsidR="00D7411A" w:rsidRDefault="00D7411A">
      <w:pPr>
        <w:spacing w:after="0" w:line="240" w:lineRule="auto"/>
        <w:jc w:val="both"/>
        <w:rPr>
          <w:rFonts w:ascii="Times New Roman" w:eastAsia="Calibri" w:hAnsi="Times New Roman" w:cs="Times New Roman"/>
          <w:kern w:val="2"/>
          <w:sz w:val="24"/>
          <w:szCs w:val="24"/>
          <w:lang w:eastAsia="en-US"/>
        </w:rPr>
      </w:pPr>
    </w:p>
    <w:p w:rsidR="00D7411A" w:rsidRDefault="00415590">
      <w:pPr>
        <w:spacing w:after="0" w:line="240" w:lineRule="auto"/>
        <w:jc w:val="both"/>
        <w:rPr>
          <w:rFonts w:eastAsia="Calibri"/>
          <w:kern w:val="2"/>
          <w:sz w:val="24"/>
          <w:szCs w:val="24"/>
          <w:lang w:eastAsia="en-US"/>
        </w:rPr>
      </w:pPr>
      <w:r>
        <w:rPr>
          <w:rFonts w:ascii="Times New Roman" w:eastAsia="Calibri" w:hAnsi="Times New Roman" w:cs="Times New Roman"/>
          <w:b/>
          <w:kern w:val="2"/>
          <w:sz w:val="24"/>
          <w:szCs w:val="24"/>
          <w:u w:val="single"/>
          <w:lang w:eastAsia="en-US"/>
        </w:rPr>
        <w:t xml:space="preserve">Darba uzdevums: </w:t>
      </w:r>
    </w:p>
    <w:p w:rsidR="00D7411A" w:rsidRDefault="00415590">
      <w:pPr>
        <w:numPr>
          <w:ilvl w:val="0"/>
          <w:numId w:val="12"/>
        </w:numPr>
        <w:tabs>
          <w:tab w:val="left" w:pos="426"/>
        </w:tabs>
        <w:spacing w:after="0" w:line="240" w:lineRule="auto"/>
        <w:ind w:left="284" w:hanging="284"/>
        <w:jc w:val="both"/>
        <w:rPr>
          <w:rFonts w:eastAsia="Calibri"/>
          <w:kern w:val="2"/>
          <w:lang w:eastAsia="en-US"/>
        </w:rPr>
      </w:pPr>
      <w:r>
        <w:rPr>
          <w:rFonts w:ascii="Times New Roman" w:eastAsia="Times New Roman" w:hAnsi="Times New Roman" w:cs="Times New Roman"/>
          <w:kern w:val="2"/>
          <w:sz w:val="24"/>
          <w:szCs w:val="24"/>
          <w:lang w:eastAsia="en-US"/>
        </w:rPr>
        <w:t>Informācijas apkopošana, ikgadējo monitoringa datu analīze, darbu programmas sagatavošana;</w:t>
      </w:r>
    </w:p>
    <w:p w:rsidR="00D7411A" w:rsidRDefault="00415590">
      <w:pPr>
        <w:numPr>
          <w:ilvl w:val="0"/>
          <w:numId w:val="13"/>
        </w:numPr>
        <w:tabs>
          <w:tab w:val="left" w:pos="426"/>
        </w:tabs>
        <w:spacing w:after="0" w:line="240" w:lineRule="auto"/>
        <w:ind w:left="284" w:hanging="284"/>
        <w:jc w:val="both"/>
        <w:rPr>
          <w:rFonts w:ascii="Times New Roman" w:eastAsia="Calibri" w:hAnsi="Times New Roman"/>
          <w:kern w:val="2"/>
          <w:lang w:eastAsia="en-US"/>
        </w:rPr>
      </w:pPr>
      <w:r>
        <w:rPr>
          <w:rFonts w:ascii="Times New Roman" w:eastAsia="Times New Roman" w:hAnsi="Times New Roman" w:cs="Times New Roman"/>
          <w:kern w:val="2"/>
          <w:sz w:val="24"/>
          <w:szCs w:val="24"/>
          <w:lang w:eastAsia="en-US"/>
        </w:rPr>
        <w:t>Zemes dzīļu izmantošanas licences pieteikuma sagatavošana un iesniegšana Valsts vides dienestā (turpmāk – VVD). Darbu programmas saskaņošana ar darbu pasūtītāju un VVD. Zemes dzīļu izmantošanas licences saņemšana.</w:t>
      </w:r>
    </w:p>
    <w:p w:rsidR="00D7411A" w:rsidRDefault="00415590">
      <w:pPr>
        <w:numPr>
          <w:ilvl w:val="0"/>
          <w:numId w:val="14"/>
        </w:numPr>
        <w:tabs>
          <w:tab w:val="left" w:pos="426"/>
        </w:tabs>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Pārskata par hidroģeoloģisko/ hidrotehniskās izpēti sastādīšana un akceptēšana, t.sk.</w:t>
      </w:r>
    </w:p>
    <w:p w:rsidR="00D7411A" w:rsidRPr="00FD5506" w:rsidRDefault="00415590">
      <w:pPr>
        <w:spacing w:after="0" w:line="240" w:lineRule="auto"/>
        <w:ind w:left="284"/>
        <w:jc w:val="both"/>
        <w:rPr>
          <w:rFonts w:eastAsia="Calibri"/>
          <w:kern w:val="2"/>
          <w:lang w:eastAsia="en-US"/>
        </w:rPr>
      </w:pPr>
      <w:r>
        <w:rPr>
          <w:rFonts w:ascii="Times New Roman" w:eastAsia="Times New Roman" w:hAnsi="Times New Roman" w:cs="Times New Roman"/>
          <w:kern w:val="2"/>
          <w:sz w:val="24"/>
          <w:szCs w:val="24"/>
          <w:lang w:eastAsia="en-US"/>
        </w:rPr>
        <w:t xml:space="preserve">3.1. </w:t>
      </w:r>
      <w:r w:rsidRPr="00FD5506">
        <w:rPr>
          <w:rFonts w:ascii="Times New Roman" w:eastAsia="Times New Roman" w:hAnsi="Times New Roman" w:cs="Times New Roman"/>
          <w:kern w:val="2"/>
          <w:sz w:val="24"/>
          <w:szCs w:val="24"/>
          <w:lang w:eastAsia="en-US"/>
        </w:rPr>
        <w:t>Atradnes teritorijas apsekošana, paraugu noņemšana;</w:t>
      </w:r>
    </w:p>
    <w:p w:rsidR="00D7411A" w:rsidRDefault="00415590">
      <w:pPr>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3.2. Ūdens paraugu testēšana akreditētā laboratorijā (no 3 urbumiem);</w:t>
      </w:r>
    </w:p>
    <w:p w:rsidR="00D7411A" w:rsidRDefault="00415590">
      <w:pPr>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3.3. Ūdensapgādes urbumu atsūknēšana (pēc nepieciešamības);</w:t>
      </w:r>
    </w:p>
    <w:p w:rsidR="00D7411A" w:rsidRDefault="00415590">
      <w:pPr>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3.4. Statiskā ūdens līmeņa mērīšana urbumos;</w:t>
      </w:r>
    </w:p>
    <w:p w:rsidR="00D7411A" w:rsidRDefault="00415590">
      <w:pPr>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3.5. Hidroģeoloģisko apstākļu novērtēšana, ģeoloģiskā griezuma sastādīšana;</w:t>
      </w:r>
    </w:p>
    <w:p w:rsidR="00D7411A" w:rsidRDefault="00415590">
      <w:pPr>
        <w:spacing w:after="0" w:line="240" w:lineRule="auto"/>
        <w:ind w:left="284"/>
        <w:jc w:val="both"/>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 xml:space="preserve">3.6. </w:t>
      </w:r>
      <w:proofErr w:type="spellStart"/>
      <w:r>
        <w:rPr>
          <w:rFonts w:ascii="Times New Roman" w:eastAsia="Times New Roman" w:hAnsi="Times New Roman" w:cs="Times New Roman"/>
          <w:kern w:val="2"/>
          <w:sz w:val="24"/>
          <w:szCs w:val="24"/>
          <w:lang w:eastAsia="en-US"/>
        </w:rPr>
        <w:t>Ūdensgūtnes</w:t>
      </w:r>
      <w:proofErr w:type="spellEnd"/>
      <w:r>
        <w:rPr>
          <w:rFonts w:ascii="Times New Roman" w:eastAsia="Times New Roman" w:hAnsi="Times New Roman" w:cs="Times New Roman"/>
          <w:kern w:val="2"/>
          <w:sz w:val="24"/>
          <w:szCs w:val="24"/>
          <w:lang w:eastAsia="en-US"/>
        </w:rPr>
        <w:t xml:space="preserve"> atslēgšanas eksperiments hidroģeoloģisko parametru precizēšanai;</w:t>
      </w:r>
    </w:p>
    <w:p w:rsidR="00D7411A" w:rsidRDefault="00415590">
      <w:pPr>
        <w:spacing w:after="0" w:line="240" w:lineRule="auto"/>
        <w:ind w:left="284"/>
        <w:jc w:val="both"/>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3.7. Hidroģeoloģiskā modeļa koriģēšanas (ja būs nepieciešams, ja km parametrs būtiski atšķirsies no eksperimenta rezultātiem);</w:t>
      </w:r>
    </w:p>
    <w:p w:rsidR="00D7411A" w:rsidRDefault="00415590">
      <w:pPr>
        <w:tabs>
          <w:tab w:val="left" w:pos="426"/>
          <w:tab w:val="left" w:pos="1021"/>
        </w:tabs>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lv-LV"/>
        </w:rPr>
        <w:t>3.8. Pazemes ūdens atradnes ekspluatācijas krājumu aprēķināšana;</w:t>
      </w:r>
    </w:p>
    <w:p w:rsidR="00D7411A" w:rsidRDefault="00415590">
      <w:pPr>
        <w:numPr>
          <w:ilvl w:val="0"/>
          <w:numId w:val="15"/>
        </w:numPr>
        <w:tabs>
          <w:tab w:val="left" w:pos="426"/>
        </w:tabs>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Atradnes aizsargjoslu saskaņošana ar Veselības Inspekciju (VI);</w:t>
      </w:r>
    </w:p>
    <w:p w:rsidR="00D7411A" w:rsidRDefault="00415590">
      <w:pPr>
        <w:numPr>
          <w:ilvl w:val="0"/>
          <w:numId w:val="16"/>
        </w:numPr>
        <w:tabs>
          <w:tab w:val="left" w:pos="426"/>
        </w:tabs>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lv-LV"/>
        </w:rPr>
        <w:t>Pazemes ūdeņu atradnes pases sastādīšana kopējiem krājumiem līdz 1 000,00 m</w:t>
      </w:r>
      <w:r>
        <w:rPr>
          <w:rFonts w:ascii="Times New Roman" w:eastAsia="Times New Roman" w:hAnsi="Times New Roman" w:cs="Times New Roman"/>
          <w:kern w:val="2"/>
          <w:sz w:val="24"/>
          <w:szCs w:val="24"/>
          <w:vertAlign w:val="superscript"/>
          <w:lang w:eastAsia="lv-LV"/>
        </w:rPr>
        <w:t>3</w:t>
      </w:r>
      <w:r>
        <w:rPr>
          <w:rFonts w:ascii="Times New Roman" w:eastAsia="Times New Roman" w:hAnsi="Times New Roman" w:cs="Times New Roman"/>
          <w:kern w:val="2"/>
          <w:sz w:val="24"/>
          <w:szCs w:val="24"/>
          <w:lang w:eastAsia="lv-LV"/>
        </w:rPr>
        <w:t>/</w:t>
      </w:r>
      <w:proofErr w:type="spellStart"/>
      <w:r>
        <w:rPr>
          <w:rFonts w:ascii="Times New Roman" w:eastAsia="Times New Roman" w:hAnsi="Times New Roman" w:cs="Times New Roman"/>
          <w:kern w:val="2"/>
          <w:sz w:val="24"/>
          <w:szCs w:val="24"/>
          <w:lang w:eastAsia="lv-LV"/>
        </w:rPr>
        <w:t>dnn</w:t>
      </w:r>
      <w:proofErr w:type="spellEnd"/>
      <w:r>
        <w:rPr>
          <w:rFonts w:ascii="Times New Roman" w:eastAsia="Times New Roman" w:hAnsi="Times New Roman" w:cs="Times New Roman"/>
          <w:kern w:val="2"/>
          <w:sz w:val="24"/>
          <w:szCs w:val="24"/>
          <w:lang w:eastAsia="lv-LV"/>
        </w:rPr>
        <w:t xml:space="preserve"> un citi darbi, kas nepieciešami, lai Pasūtītājs saņemtu  pazemes ūdeņu atradņu pasi.</w:t>
      </w:r>
    </w:p>
    <w:p w:rsidR="00D7411A" w:rsidRDefault="00D7411A">
      <w:pPr>
        <w:spacing w:after="0" w:line="240" w:lineRule="auto"/>
        <w:ind w:firstLine="720"/>
        <w:jc w:val="both"/>
        <w:rPr>
          <w:rFonts w:ascii="Times New Roman" w:eastAsia="Calibri" w:hAnsi="Times New Roman" w:cs="Times New Roman"/>
          <w:kern w:val="2"/>
          <w:sz w:val="24"/>
          <w:szCs w:val="24"/>
          <w:lang w:eastAsia="en-US"/>
        </w:rPr>
      </w:pPr>
    </w:p>
    <w:p w:rsidR="00D7411A" w:rsidRDefault="00415590">
      <w:pPr>
        <w:spacing w:after="0" w:line="240" w:lineRule="auto"/>
        <w:jc w:val="both"/>
        <w:rPr>
          <w:rFonts w:ascii="Times New Roman" w:eastAsia="Calibri" w:hAnsi="Times New Roman"/>
          <w:kern w:val="2"/>
          <w:sz w:val="24"/>
          <w:szCs w:val="24"/>
          <w:lang w:eastAsia="en-US"/>
        </w:rPr>
      </w:pPr>
      <w:r>
        <w:rPr>
          <w:rFonts w:ascii="Times New Roman" w:eastAsia="Calibri" w:hAnsi="Times New Roman" w:cs="Times New Roman"/>
          <w:b/>
          <w:kern w:val="2"/>
          <w:sz w:val="24"/>
          <w:szCs w:val="24"/>
          <w:lang w:eastAsia="en-US"/>
        </w:rPr>
        <w:t>Darba izpildes termiņš:</w:t>
      </w:r>
      <w:r>
        <w:rPr>
          <w:rFonts w:ascii="Times New Roman" w:eastAsia="Calibri" w:hAnsi="Times New Roman" w:cs="Times New Roman"/>
          <w:kern w:val="2"/>
          <w:sz w:val="24"/>
          <w:szCs w:val="24"/>
          <w:lang w:eastAsia="en-US"/>
        </w:rPr>
        <w:t xml:space="preserve"> </w:t>
      </w:r>
    </w:p>
    <w:p w:rsidR="00D7411A" w:rsidRDefault="00415590">
      <w:pPr>
        <w:pStyle w:val="Sarakstarindkopa"/>
        <w:numPr>
          <w:ilvl w:val="0"/>
          <w:numId w:val="2"/>
        </w:numPr>
        <w:spacing w:after="0" w:line="240" w:lineRule="auto"/>
        <w:ind w:left="284" w:hanging="284"/>
        <w:contextualSpacing/>
        <w:jc w:val="both"/>
        <w:rPr>
          <w:rFonts w:ascii="Times New Roman" w:eastAsia="Calibri" w:hAnsi="Times New Roman"/>
          <w:kern w:val="2"/>
          <w:sz w:val="24"/>
          <w:szCs w:val="24"/>
          <w:lang w:eastAsia="en-US"/>
        </w:rPr>
      </w:pPr>
      <w:r>
        <w:rPr>
          <w:rFonts w:ascii="Times New Roman" w:eastAsia="Calibri" w:hAnsi="Times New Roman" w:cs="Times New Roman"/>
          <w:kern w:val="2"/>
          <w:sz w:val="24"/>
          <w:szCs w:val="24"/>
          <w:lang w:eastAsia="en-US"/>
        </w:rPr>
        <w:t xml:space="preserve">Līguma izpildes termiņš ir 8 mēneši no līguma spēkā stāšanās brīža; </w:t>
      </w:r>
    </w:p>
    <w:p w:rsidR="00D7411A" w:rsidRDefault="00415590">
      <w:pPr>
        <w:numPr>
          <w:ilvl w:val="0"/>
          <w:numId w:val="2"/>
        </w:numPr>
        <w:spacing w:after="0" w:line="240" w:lineRule="auto"/>
        <w:ind w:left="284" w:hanging="284"/>
        <w:contextualSpacing/>
        <w:jc w:val="both"/>
        <w:rPr>
          <w:rFonts w:ascii="Times New Roman" w:eastAsia="Calibri" w:hAnsi="Times New Roman"/>
          <w:kern w:val="2"/>
          <w:sz w:val="24"/>
          <w:szCs w:val="24"/>
          <w:lang w:eastAsia="en-US"/>
        </w:rPr>
      </w:pPr>
      <w:r>
        <w:rPr>
          <w:rFonts w:ascii="Times New Roman" w:eastAsia="Calibri" w:hAnsi="Times New Roman" w:cs="Times New Roman"/>
          <w:kern w:val="2"/>
          <w:sz w:val="24"/>
          <w:szCs w:val="24"/>
          <w:lang w:eastAsia="en-US"/>
        </w:rPr>
        <w:t xml:space="preserve">1 mēneša laikā no Līguma noslēgšanas dienas, Pretendentam jāiesniedz Darbu izpildes laika grafiks pa nedēļām; </w:t>
      </w:r>
    </w:p>
    <w:p w:rsidR="00D7411A" w:rsidRPr="00FD5506" w:rsidRDefault="00415590">
      <w:pPr>
        <w:numPr>
          <w:ilvl w:val="0"/>
          <w:numId w:val="2"/>
        </w:numPr>
        <w:spacing w:after="0" w:line="240" w:lineRule="auto"/>
        <w:ind w:left="284" w:hanging="284"/>
        <w:contextualSpacing/>
        <w:jc w:val="both"/>
        <w:rPr>
          <w:rFonts w:ascii="Times New Roman" w:eastAsia="Calibri" w:hAnsi="Times New Roman"/>
          <w:kern w:val="2"/>
          <w:sz w:val="24"/>
          <w:szCs w:val="24"/>
          <w:lang w:eastAsia="en-US"/>
        </w:rPr>
      </w:pPr>
      <w:r w:rsidRPr="00FD5506">
        <w:rPr>
          <w:rFonts w:ascii="Times New Roman" w:eastAsia="Calibri" w:hAnsi="Times New Roman" w:cs="Times New Roman"/>
          <w:kern w:val="2"/>
          <w:sz w:val="24"/>
          <w:szCs w:val="24"/>
          <w:lang w:eastAsia="en-US"/>
        </w:rPr>
        <w:t xml:space="preserve">Darbs tiek uzskatīts par pabeigtu, kad Pasūtītājs (P/A “SAN-TEX) ir saņēmis </w:t>
      </w:r>
      <w:r w:rsidRPr="00FD5506">
        <w:rPr>
          <w:rFonts w:ascii="Times New Roman" w:eastAsia="Times New Roman" w:hAnsi="Times New Roman" w:cs="Times New Roman"/>
          <w:kern w:val="2"/>
          <w:sz w:val="24"/>
          <w:szCs w:val="24"/>
          <w:lang w:eastAsia="lv-LV"/>
        </w:rPr>
        <w:t>pazemes ūdeņu atradņu “Partizānu” pasi.</w:t>
      </w:r>
    </w:p>
    <w:p w:rsidR="00D7411A" w:rsidRDefault="00D7411A">
      <w:pPr>
        <w:spacing w:after="0" w:line="240" w:lineRule="auto"/>
        <w:ind w:left="720"/>
        <w:contextualSpacing/>
        <w:jc w:val="both"/>
        <w:rPr>
          <w:rFonts w:ascii="Times New Roman" w:eastAsia="Calibri" w:hAnsi="Times New Roman"/>
          <w:kern w:val="2"/>
          <w:sz w:val="24"/>
          <w:szCs w:val="24"/>
          <w:lang w:eastAsia="en-US"/>
        </w:rPr>
      </w:pPr>
    </w:p>
    <w:p w:rsidR="00D7411A" w:rsidRDefault="00415590">
      <w:pPr>
        <w:spacing w:after="0" w:line="240" w:lineRule="auto"/>
        <w:jc w:val="both"/>
        <w:rPr>
          <w:rFonts w:ascii="Times New Roman" w:eastAsia="Calibri" w:hAnsi="Times New Roman"/>
          <w:kern w:val="2"/>
          <w:sz w:val="24"/>
          <w:szCs w:val="24"/>
          <w:lang w:eastAsia="en-US"/>
        </w:rPr>
      </w:pPr>
      <w:bookmarkStart w:id="4" w:name="_Hlk184809021"/>
      <w:r>
        <w:rPr>
          <w:rFonts w:ascii="Times New Roman" w:eastAsia="Times New Roman" w:hAnsi="Times New Roman" w:cs="Times New Roman"/>
          <w:b/>
          <w:kern w:val="2"/>
          <w:sz w:val="24"/>
          <w:szCs w:val="24"/>
          <w:lang w:eastAsia="lv-LV"/>
        </w:rPr>
        <w:t>Pasūtījuma izpildei pieejamie materiāli, ko var nodrošināt pasūtītājs:</w:t>
      </w:r>
      <w:bookmarkEnd w:id="4"/>
    </w:p>
    <w:p w:rsidR="00D7411A" w:rsidRDefault="00415590">
      <w:pPr>
        <w:numPr>
          <w:ilvl w:val="0"/>
          <w:numId w:val="17"/>
        </w:numPr>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bCs/>
          <w:kern w:val="2"/>
          <w:sz w:val="24"/>
          <w:szCs w:val="24"/>
          <w:lang w:eastAsia="lv-LV"/>
        </w:rPr>
        <w:t>Iepriekš izsniegtā pazemes ūdeņu atradnes pase;</w:t>
      </w:r>
    </w:p>
    <w:p w:rsidR="00D7411A" w:rsidRDefault="00415590">
      <w:pPr>
        <w:pStyle w:val="Sarakstarindkopa"/>
        <w:numPr>
          <w:ilvl w:val="0"/>
          <w:numId w:val="18"/>
        </w:numPr>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bCs/>
          <w:kern w:val="2"/>
          <w:sz w:val="24"/>
          <w:szCs w:val="24"/>
          <w:lang w:eastAsia="lv-LV"/>
        </w:rPr>
        <w:t>Statiskie un dinamiskie ūdens līmeņa mērījumi ekspluatācijas urbumos;</w:t>
      </w:r>
    </w:p>
    <w:p w:rsidR="00D7411A" w:rsidRDefault="00415590">
      <w:pPr>
        <w:pStyle w:val="Sarakstarindkopa"/>
        <w:numPr>
          <w:ilvl w:val="0"/>
          <w:numId w:val="19"/>
        </w:numPr>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bCs/>
          <w:kern w:val="2"/>
          <w:sz w:val="24"/>
          <w:szCs w:val="24"/>
          <w:lang w:eastAsia="lv-LV"/>
        </w:rPr>
        <w:t>Ūdens kvalitātes analīžu rezultāti u.c. dokumenti.</w:t>
      </w:r>
    </w:p>
    <w:p w:rsidR="00D7411A" w:rsidRDefault="00D7411A">
      <w:pPr>
        <w:spacing w:after="0" w:line="240" w:lineRule="auto"/>
        <w:ind w:left="750"/>
        <w:contextualSpacing/>
        <w:jc w:val="both"/>
        <w:rPr>
          <w:rFonts w:ascii="Times New Roman" w:eastAsia="Times New Roman" w:hAnsi="Times New Roman" w:cs="Times New Roman"/>
          <w:kern w:val="2"/>
          <w:sz w:val="24"/>
          <w:szCs w:val="24"/>
          <w:lang w:eastAsia="en-US"/>
        </w:rPr>
      </w:pPr>
    </w:p>
    <w:p w:rsidR="00D7411A" w:rsidRDefault="00D7411A">
      <w:pPr>
        <w:spacing w:after="0" w:line="240" w:lineRule="auto"/>
        <w:jc w:val="both"/>
        <w:rPr>
          <w:rFonts w:ascii="Times New Roman" w:eastAsia="Calibri" w:hAnsi="Times New Roman" w:cs="Times New Roman"/>
          <w:b/>
          <w:bCs/>
          <w:i/>
          <w:iCs/>
          <w:kern w:val="2"/>
          <w:sz w:val="24"/>
          <w:szCs w:val="24"/>
          <w:lang w:eastAsia="en-US"/>
        </w:rPr>
      </w:pPr>
    </w:p>
    <w:p w:rsidR="00D7411A" w:rsidRDefault="00D7411A">
      <w:pPr>
        <w:spacing w:after="0" w:line="240" w:lineRule="auto"/>
        <w:jc w:val="both"/>
        <w:rPr>
          <w:strike/>
        </w:rPr>
      </w:pPr>
    </w:p>
    <w:p w:rsidR="00D7411A" w:rsidRDefault="00D7411A">
      <w:pPr>
        <w:spacing w:after="0" w:line="240" w:lineRule="auto"/>
        <w:jc w:val="both"/>
        <w:rPr>
          <w:rFonts w:ascii="Times New Roman" w:eastAsia="Calibri" w:hAnsi="Times New Roman" w:cs="Times New Roman"/>
          <w:b/>
          <w:bCs/>
          <w:i/>
          <w:iCs/>
          <w:kern w:val="2"/>
          <w:sz w:val="24"/>
          <w:szCs w:val="24"/>
          <w:lang w:eastAsia="en-US"/>
        </w:rPr>
      </w:pPr>
    </w:p>
    <w:p w:rsidR="00D7411A" w:rsidRDefault="00415590">
      <w:pPr>
        <w:spacing w:after="0" w:line="240" w:lineRule="auto"/>
        <w:ind w:firstLine="391"/>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Pazemes ūdeņu atradņu izpētes un krājumu aprēķināšanas darbi jāveic atbilstoši 2011.gada 6.septembra Ministru kabineta noteikumu Nr.696 “Zemes dzīļu izmantošanas licenču un bieži sastopamo derīgo izrakteņu ieguves atļauju izsniegšanas kārtība” un 2012.gada 21.augusta Ministra kabineta noteikumu Nr. 570 “Derīgo izrakteņu ieguves kārtība” prasībām, un citiem normatīvajiem aktiem, kas attiecināmi uz darba uzdevuma izpildi.</w:t>
      </w:r>
    </w:p>
    <w:p w:rsidR="00D7411A" w:rsidRDefault="00D7411A">
      <w:pPr>
        <w:spacing w:after="0" w:line="240" w:lineRule="auto"/>
        <w:jc w:val="both"/>
        <w:rPr>
          <w:rFonts w:ascii="Times New Roman" w:eastAsia="Calibri" w:hAnsi="Times New Roman" w:cs="Times New Roman"/>
          <w:kern w:val="2"/>
          <w:sz w:val="24"/>
          <w:szCs w:val="24"/>
          <w:lang w:eastAsia="en-US"/>
        </w:rPr>
      </w:pPr>
    </w:p>
    <w:p w:rsidR="00D7411A" w:rsidRDefault="00D7411A">
      <w:pPr>
        <w:spacing w:after="0" w:line="240" w:lineRule="auto"/>
        <w:contextualSpacing/>
        <w:jc w:val="both"/>
        <w:rPr>
          <w:rFonts w:ascii="Times New Roman" w:hAnsi="Times New Roman" w:cs="Times New Roman"/>
          <w:b/>
          <w:sz w:val="24"/>
          <w:szCs w:val="24"/>
        </w:rPr>
      </w:pPr>
    </w:p>
    <w:p w:rsidR="00D7411A" w:rsidRDefault="00D7411A">
      <w:pPr>
        <w:spacing w:after="0" w:line="240" w:lineRule="auto"/>
        <w:contextualSpacing/>
        <w:jc w:val="both"/>
        <w:rPr>
          <w:rFonts w:ascii="Times New Roman" w:hAnsi="Times New Roman" w:cs="Times New Roman"/>
          <w:b/>
          <w:sz w:val="24"/>
          <w:szCs w:val="24"/>
        </w:rPr>
      </w:pPr>
    </w:p>
    <w:p w:rsidR="00D7411A" w:rsidRDefault="00415590">
      <w:pPr>
        <w:spacing w:after="0" w:line="240" w:lineRule="auto"/>
        <w:contextualSpacing/>
        <w:jc w:val="both"/>
        <w:rPr>
          <w:rFonts w:ascii="Times New Roman" w:eastAsia="Times New Roman" w:hAnsi="Times New Roman" w:cs="Times New Roman"/>
          <w:b/>
          <w:bCs/>
          <w:sz w:val="24"/>
          <w:szCs w:val="24"/>
        </w:rPr>
      </w:pPr>
      <w:r>
        <w:rPr>
          <w:rFonts w:ascii="MS Gothic" w:eastAsia="MS Gothic" w:hAnsi="MS Gothic" w:cs="Times New Roman"/>
          <w:b/>
          <w:sz w:val="28"/>
          <w:szCs w:val="28"/>
        </w:rPr>
        <w:t>☐</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w:t>
      </w:r>
      <w:r>
        <w:rPr>
          <w:rFonts w:ascii="Times New Roman" w:hAnsi="Times New Roman" w:cs="Times New Roman"/>
          <w:i/>
          <w:iCs/>
          <w:color w:val="000000"/>
          <w:sz w:val="20"/>
          <w:szCs w:val="20"/>
        </w:rPr>
        <w:t>atzīmē, ja piekrīt</w:t>
      </w:r>
      <w:r>
        <w:rPr>
          <w:rFonts w:ascii="Times New Roman" w:hAnsi="Times New Roman" w:cs="Times New Roman"/>
          <w:color w:val="000000"/>
          <w:sz w:val="20"/>
          <w:szCs w:val="20"/>
        </w:rPr>
        <w:t xml:space="preserve">) </w:t>
      </w:r>
      <w:r>
        <w:rPr>
          <w:rFonts w:ascii="Times New Roman" w:eastAsia="Times New Roman" w:hAnsi="Times New Roman" w:cs="Times New Roman"/>
          <w:b/>
          <w:bCs/>
          <w:sz w:val="24"/>
          <w:szCs w:val="24"/>
        </w:rPr>
        <w:t>Pretendents apliecina, ka apņemas izpildīt pasūtītāja Tehniskajā specifikācijā noteiktās prasības.</w:t>
      </w:r>
    </w:p>
    <w:p w:rsidR="00D7411A" w:rsidRDefault="00D7411A">
      <w:pPr>
        <w:spacing w:after="0" w:line="240" w:lineRule="auto"/>
        <w:contextualSpacing/>
        <w:jc w:val="both"/>
        <w:rPr>
          <w:rFonts w:ascii="Times New Roman" w:eastAsia="Times New Roman" w:hAnsi="Times New Roman" w:cs="Times New Roman"/>
          <w:b/>
          <w:bCs/>
          <w:sz w:val="24"/>
          <w:szCs w:val="24"/>
        </w:rPr>
      </w:pPr>
    </w:p>
    <w:p w:rsidR="00D7411A" w:rsidRDefault="00D7411A">
      <w:pPr>
        <w:spacing w:after="0" w:line="240" w:lineRule="auto"/>
        <w:contextualSpacing/>
        <w:jc w:val="both"/>
        <w:rPr>
          <w:rFonts w:ascii="Times New Roman" w:eastAsia="Times New Roman" w:hAnsi="Times New Roman" w:cs="Times New Roman"/>
          <w:sz w:val="24"/>
          <w:szCs w:val="24"/>
        </w:rPr>
      </w:pPr>
    </w:p>
    <w:p w:rsidR="00D7411A" w:rsidRDefault="00D7411A">
      <w:pPr>
        <w:spacing w:after="0" w:line="240" w:lineRule="auto"/>
        <w:contextualSpacing/>
        <w:jc w:val="both"/>
        <w:rPr>
          <w:rFonts w:ascii="Times New Roman" w:eastAsia="Times New Roman" w:hAnsi="Times New Roman" w:cs="Times New Roman"/>
          <w:sz w:val="24"/>
          <w:szCs w:val="24"/>
        </w:rPr>
      </w:pPr>
    </w:p>
    <w:p w:rsidR="00D7411A" w:rsidRDefault="00D7411A">
      <w:pPr>
        <w:spacing w:after="0" w:line="240" w:lineRule="auto"/>
        <w:contextualSpacing/>
        <w:jc w:val="both"/>
        <w:rPr>
          <w:rFonts w:ascii="Times New Roman" w:eastAsia="Times New Roman" w:hAnsi="Times New Roman" w:cs="Times New Roman"/>
          <w:sz w:val="24"/>
          <w:szCs w:val="24"/>
        </w:rPr>
      </w:pPr>
    </w:p>
    <w:p w:rsidR="00D7411A" w:rsidRDefault="00415590">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Amats, vārds uzvārds, paraksts</w:t>
      </w:r>
      <w:r>
        <w:rPr>
          <w:rStyle w:val="Vresatsauce"/>
          <w:rFonts w:ascii="Times New Roman" w:hAnsi="Times New Roman" w:cs="Times New Roman"/>
          <w:sz w:val="24"/>
          <w:szCs w:val="24"/>
        </w:rPr>
        <w:footnoteReference w:id="1"/>
      </w:r>
      <w:r>
        <w:rPr>
          <w:rFonts w:ascii="Times New Roman" w:hAnsi="Times New Roman" w:cs="Times New Roman"/>
          <w:sz w:val="24"/>
          <w:szCs w:val="24"/>
        </w:rPr>
        <w:t>________________</w:t>
      </w:r>
    </w:p>
    <w:sectPr w:rsidR="00D7411A">
      <w:pgSz w:w="11906" w:h="16838"/>
      <w:pgMar w:top="1134" w:right="1134" w:bottom="1134" w:left="1701"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151B" w:rsidRDefault="0047151B">
      <w:pPr>
        <w:spacing w:after="0" w:line="240" w:lineRule="auto"/>
      </w:pPr>
      <w:r>
        <w:separator/>
      </w:r>
    </w:p>
  </w:endnote>
  <w:endnote w:type="continuationSeparator" w:id="0">
    <w:p w:rsidR="0047151B" w:rsidRDefault="0047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Liberation Sans">
    <w:altName w:val="Arial"/>
    <w:charset w:val="BA"/>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w Cen 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151B" w:rsidRDefault="0047151B">
      <w:pPr>
        <w:rPr>
          <w:sz w:val="12"/>
        </w:rPr>
      </w:pPr>
      <w:r>
        <w:separator/>
      </w:r>
    </w:p>
  </w:footnote>
  <w:footnote w:type="continuationSeparator" w:id="0">
    <w:p w:rsidR="0047151B" w:rsidRDefault="0047151B">
      <w:pPr>
        <w:rPr>
          <w:sz w:val="12"/>
        </w:rPr>
      </w:pPr>
      <w:r>
        <w:continuationSeparator/>
      </w:r>
    </w:p>
  </w:footnote>
  <w:footnote w:id="1">
    <w:p w:rsidR="00D7411A" w:rsidRDefault="00415590">
      <w:pPr>
        <w:spacing w:after="0" w:line="240" w:lineRule="auto"/>
        <w:contextualSpacing/>
        <w:jc w:val="both"/>
      </w:pPr>
      <w:r>
        <w:rPr>
          <w:rStyle w:val="Vresrakstzmes"/>
        </w:rPr>
        <w:footnoteRef/>
      </w:r>
      <w:r>
        <w:rPr>
          <w:rFonts w:ascii="Times New Roman" w:hAnsi="Times New Roman" w:cs="Times New Roman"/>
          <w:sz w:val="20"/>
          <w:szCs w:val="20"/>
        </w:rPr>
        <w:t xml:space="preserve"> </w:t>
      </w:r>
      <w:r>
        <w:rPr>
          <w:rFonts w:ascii="Times New Roman" w:hAnsi="Times New Roman" w:cs="Times New Roman"/>
          <w:sz w:val="20"/>
          <w:szCs w:val="20"/>
          <w:lang w:eastAsia="lv-LV"/>
        </w:rPr>
        <w:t>Rekvizītus “datums” un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A28"/>
    <w:multiLevelType w:val="multilevel"/>
    <w:tmpl w:val="85F0C9B8"/>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 w15:restartNumberingAfterBreak="0">
    <w:nsid w:val="0EDC33B5"/>
    <w:multiLevelType w:val="multilevel"/>
    <w:tmpl w:val="C9D8EF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2C11F98"/>
    <w:multiLevelType w:val="multilevel"/>
    <w:tmpl w:val="5D82BC40"/>
    <w:lvl w:ilvl="0">
      <w:start w:val="1"/>
      <w:numFmt w:val="decimal"/>
      <w:lvlText w:val="%1."/>
      <w:lvlJc w:val="left"/>
      <w:pPr>
        <w:tabs>
          <w:tab w:val="num" w:pos="0"/>
        </w:tabs>
        <w:ind w:left="750" w:hanging="360"/>
      </w:pPr>
      <w:rPr>
        <w:b w:val="0"/>
        <w:bCs w:val="0"/>
      </w:rPr>
    </w:lvl>
    <w:lvl w:ilvl="1">
      <w:start w:val="1"/>
      <w:numFmt w:val="decimal"/>
      <w:lvlText w:val="%1.%2."/>
      <w:lvlJc w:val="left"/>
      <w:pPr>
        <w:tabs>
          <w:tab w:val="num" w:pos="0"/>
        </w:tabs>
        <w:ind w:left="750" w:hanging="360"/>
      </w:pPr>
      <w:rPr>
        <w:b w:val="0"/>
      </w:rPr>
    </w:lvl>
    <w:lvl w:ilvl="2">
      <w:start w:val="1"/>
      <w:numFmt w:val="decimal"/>
      <w:lvlText w:val="%1.%2.%3."/>
      <w:lvlJc w:val="left"/>
      <w:pPr>
        <w:tabs>
          <w:tab w:val="num" w:pos="0"/>
        </w:tabs>
        <w:ind w:left="1110" w:hanging="720"/>
      </w:pPr>
    </w:lvl>
    <w:lvl w:ilvl="3">
      <w:start w:val="1"/>
      <w:numFmt w:val="decimal"/>
      <w:lvlText w:val="%1.%2.%3.%4."/>
      <w:lvlJc w:val="left"/>
      <w:pPr>
        <w:tabs>
          <w:tab w:val="num" w:pos="0"/>
        </w:tabs>
        <w:ind w:left="1110" w:hanging="720"/>
      </w:pPr>
    </w:lvl>
    <w:lvl w:ilvl="4">
      <w:start w:val="1"/>
      <w:numFmt w:val="decimal"/>
      <w:lvlText w:val="%1.%2.%3.%4.%5."/>
      <w:lvlJc w:val="left"/>
      <w:pPr>
        <w:tabs>
          <w:tab w:val="num" w:pos="0"/>
        </w:tabs>
        <w:ind w:left="1470" w:hanging="1080"/>
      </w:pPr>
    </w:lvl>
    <w:lvl w:ilvl="5">
      <w:start w:val="1"/>
      <w:numFmt w:val="decimal"/>
      <w:lvlText w:val="%1.%2.%3.%4.%5.%6."/>
      <w:lvlJc w:val="left"/>
      <w:pPr>
        <w:tabs>
          <w:tab w:val="num" w:pos="0"/>
        </w:tabs>
        <w:ind w:left="1470" w:hanging="1080"/>
      </w:pPr>
    </w:lvl>
    <w:lvl w:ilvl="6">
      <w:start w:val="1"/>
      <w:numFmt w:val="decimal"/>
      <w:lvlText w:val="%1.%2.%3.%4.%5.%6.%7."/>
      <w:lvlJc w:val="left"/>
      <w:pPr>
        <w:tabs>
          <w:tab w:val="num" w:pos="0"/>
        </w:tabs>
        <w:ind w:left="1830" w:hanging="1440"/>
      </w:pPr>
    </w:lvl>
    <w:lvl w:ilvl="7">
      <w:start w:val="1"/>
      <w:numFmt w:val="decimal"/>
      <w:lvlText w:val="%1.%2.%3.%4.%5.%6.%7.%8."/>
      <w:lvlJc w:val="left"/>
      <w:pPr>
        <w:tabs>
          <w:tab w:val="num" w:pos="0"/>
        </w:tabs>
        <w:ind w:left="1830" w:hanging="1440"/>
      </w:pPr>
    </w:lvl>
    <w:lvl w:ilvl="8">
      <w:start w:val="1"/>
      <w:numFmt w:val="decimal"/>
      <w:lvlText w:val="%1.%2.%3.%4.%5.%6.%7.%8.%9."/>
      <w:lvlJc w:val="left"/>
      <w:pPr>
        <w:tabs>
          <w:tab w:val="num" w:pos="0"/>
        </w:tabs>
        <w:ind w:left="2190" w:hanging="1800"/>
      </w:pPr>
    </w:lvl>
  </w:abstractNum>
  <w:abstractNum w:abstractNumId="3" w15:restartNumberingAfterBreak="0">
    <w:nsid w:val="153B2A7E"/>
    <w:multiLevelType w:val="multilevel"/>
    <w:tmpl w:val="E14C9A82"/>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B1C2FE0"/>
    <w:multiLevelType w:val="multilevel"/>
    <w:tmpl w:val="AE92A3D6"/>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5" w15:restartNumberingAfterBreak="0">
    <w:nsid w:val="5C7133AD"/>
    <w:multiLevelType w:val="multilevel"/>
    <w:tmpl w:val="4DD67416"/>
    <w:lvl w:ilvl="0">
      <w:start w:val="1"/>
      <w:numFmt w:val="decimal"/>
      <w:pStyle w:val="Style1"/>
      <w:lvlText w:val="%1."/>
      <w:lvlJc w:val="left"/>
      <w:pPr>
        <w:tabs>
          <w:tab w:val="num" w:pos="0"/>
        </w:tabs>
        <w:ind w:left="720" w:hanging="360"/>
      </w:pPr>
    </w:lvl>
    <w:lvl w:ilvl="1">
      <w:start w:val="1"/>
      <w:numFmt w:val="decimal"/>
      <w:lvlText w:val="%1.%2."/>
      <w:lvlJc w:val="left"/>
      <w:pPr>
        <w:tabs>
          <w:tab w:val="num" w:pos="0"/>
        </w:tabs>
        <w:ind w:left="816" w:hanging="456"/>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5E871AFD"/>
    <w:multiLevelType w:val="multilevel"/>
    <w:tmpl w:val="1D5CAE00"/>
    <w:lvl w:ilvl="0">
      <w:start w:val="1"/>
      <w:numFmt w:val="decimal"/>
      <w:lvlText w:val="%1."/>
      <w:lvlJc w:val="left"/>
      <w:pPr>
        <w:tabs>
          <w:tab w:val="num" w:pos="0"/>
        </w:tabs>
        <w:ind w:left="750" w:hanging="360"/>
      </w:pPr>
      <w:rPr>
        <w:b w:val="0"/>
        <w:bCs w:val="0"/>
      </w:rPr>
    </w:lvl>
    <w:lvl w:ilvl="1">
      <w:start w:val="1"/>
      <w:numFmt w:val="decimal"/>
      <w:lvlText w:val="%1.%2."/>
      <w:lvlJc w:val="left"/>
      <w:pPr>
        <w:tabs>
          <w:tab w:val="num" w:pos="0"/>
        </w:tabs>
        <w:ind w:left="750" w:hanging="360"/>
      </w:pPr>
      <w:rPr>
        <w:b w:val="0"/>
      </w:rPr>
    </w:lvl>
    <w:lvl w:ilvl="2">
      <w:start w:val="1"/>
      <w:numFmt w:val="decimal"/>
      <w:lvlText w:val="%1.%2.%3."/>
      <w:lvlJc w:val="left"/>
      <w:pPr>
        <w:tabs>
          <w:tab w:val="num" w:pos="0"/>
        </w:tabs>
        <w:ind w:left="1110" w:hanging="720"/>
      </w:pPr>
    </w:lvl>
    <w:lvl w:ilvl="3">
      <w:start w:val="1"/>
      <w:numFmt w:val="decimal"/>
      <w:lvlText w:val="%1.%2.%3.%4."/>
      <w:lvlJc w:val="left"/>
      <w:pPr>
        <w:tabs>
          <w:tab w:val="num" w:pos="0"/>
        </w:tabs>
        <w:ind w:left="1110" w:hanging="720"/>
      </w:pPr>
    </w:lvl>
    <w:lvl w:ilvl="4">
      <w:start w:val="1"/>
      <w:numFmt w:val="decimal"/>
      <w:lvlText w:val="%1.%2.%3.%4.%5."/>
      <w:lvlJc w:val="left"/>
      <w:pPr>
        <w:tabs>
          <w:tab w:val="num" w:pos="0"/>
        </w:tabs>
        <w:ind w:left="1470" w:hanging="1080"/>
      </w:pPr>
    </w:lvl>
    <w:lvl w:ilvl="5">
      <w:start w:val="1"/>
      <w:numFmt w:val="decimal"/>
      <w:lvlText w:val="%1.%2.%3.%4.%5.%6."/>
      <w:lvlJc w:val="left"/>
      <w:pPr>
        <w:tabs>
          <w:tab w:val="num" w:pos="0"/>
        </w:tabs>
        <w:ind w:left="1470" w:hanging="1080"/>
      </w:pPr>
    </w:lvl>
    <w:lvl w:ilvl="6">
      <w:start w:val="1"/>
      <w:numFmt w:val="decimal"/>
      <w:lvlText w:val="%1.%2.%3.%4.%5.%6.%7."/>
      <w:lvlJc w:val="left"/>
      <w:pPr>
        <w:tabs>
          <w:tab w:val="num" w:pos="0"/>
        </w:tabs>
        <w:ind w:left="1830" w:hanging="1440"/>
      </w:pPr>
    </w:lvl>
    <w:lvl w:ilvl="7">
      <w:start w:val="1"/>
      <w:numFmt w:val="decimal"/>
      <w:lvlText w:val="%1.%2.%3.%4.%5.%6.%7.%8."/>
      <w:lvlJc w:val="left"/>
      <w:pPr>
        <w:tabs>
          <w:tab w:val="num" w:pos="0"/>
        </w:tabs>
        <w:ind w:left="1830" w:hanging="1440"/>
      </w:pPr>
    </w:lvl>
    <w:lvl w:ilvl="8">
      <w:start w:val="1"/>
      <w:numFmt w:val="decimal"/>
      <w:lvlText w:val="%1.%2.%3.%4.%5.%6.%7.%8.%9."/>
      <w:lvlJc w:val="left"/>
      <w:pPr>
        <w:tabs>
          <w:tab w:val="num" w:pos="0"/>
        </w:tabs>
        <w:ind w:left="2190" w:hanging="1800"/>
      </w:pPr>
    </w:lvl>
  </w:abstractNum>
  <w:abstractNum w:abstractNumId="7" w15:restartNumberingAfterBreak="0">
    <w:nsid w:val="65D56C6C"/>
    <w:multiLevelType w:val="multilevel"/>
    <w:tmpl w:val="88A6ABFC"/>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8" w15:restartNumberingAfterBreak="0">
    <w:nsid w:val="758A6DAC"/>
    <w:multiLevelType w:val="multilevel"/>
    <w:tmpl w:val="65FE167A"/>
    <w:lvl w:ilvl="0">
      <w:start w:val="1"/>
      <w:numFmt w:val="decimal"/>
      <w:lvlText w:val="%1."/>
      <w:lvlJc w:val="left"/>
      <w:pPr>
        <w:tabs>
          <w:tab w:val="num" w:pos="0"/>
        </w:tabs>
        <w:ind w:left="750" w:hanging="360"/>
      </w:pPr>
      <w:rPr>
        <w:b w:val="0"/>
        <w:bCs w:val="0"/>
      </w:rPr>
    </w:lvl>
    <w:lvl w:ilvl="1">
      <w:start w:val="1"/>
      <w:numFmt w:val="decimal"/>
      <w:lvlText w:val="%1.%2."/>
      <w:lvlJc w:val="left"/>
      <w:pPr>
        <w:tabs>
          <w:tab w:val="num" w:pos="0"/>
        </w:tabs>
        <w:ind w:left="750" w:hanging="360"/>
      </w:pPr>
      <w:rPr>
        <w:b w:val="0"/>
      </w:rPr>
    </w:lvl>
    <w:lvl w:ilvl="2">
      <w:start w:val="1"/>
      <w:numFmt w:val="decimal"/>
      <w:lvlText w:val="%1.%2.%3."/>
      <w:lvlJc w:val="left"/>
      <w:pPr>
        <w:tabs>
          <w:tab w:val="num" w:pos="0"/>
        </w:tabs>
        <w:ind w:left="1110" w:hanging="720"/>
      </w:pPr>
    </w:lvl>
    <w:lvl w:ilvl="3">
      <w:start w:val="1"/>
      <w:numFmt w:val="decimal"/>
      <w:lvlText w:val="%1.%2.%3.%4."/>
      <w:lvlJc w:val="left"/>
      <w:pPr>
        <w:tabs>
          <w:tab w:val="num" w:pos="0"/>
        </w:tabs>
        <w:ind w:left="1110" w:hanging="720"/>
      </w:pPr>
    </w:lvl>
    <w:lvl w:ilvl="4">
      <w:start w:val="1"/>
      <w:numFmt w:val="decimal"/>
      <w:lvlText w:val="%1.%2.%3.%4.%5."/>
      <w:lvlJc w:val="left"/>
      <w:pPr>
        <w:tabs>
          <w:tab w:val="num" w:pos="0"/>
        </w:tabs>
        <w:ind w:left="1470" w:hanging="1080"/>
      </w:pPr>
    </w:lvl>
    <w:lvl w:ilvl="5">
      <w:start w:val="1"/>
      <w:numFmt w:val="decimal"/>
      <w:lvlText w:val="%1.%2.%3.%4.%5.%6."/>
      <w:lvlJc w:val="left"/>
      <w:pPr>
        <w:tabs>
          <w:tab w:val="num" w:pos="0"/>
        </w:tabs>
        <w:ind w:left="1470" w:hanging="1080"/>
      </w:pPr>
    </w:lvl>
    <w:lvl w:ilvl="6">
      <w:start w:val="1"/>
      <w:numFmt w:val="decimal"/>
      <w:lvlText w:val="%1.%2.%3.%4.%5.%6.%7."/>
      <w:lvlJc w:val="left"/>
      <w:pPr>
        <w:tabs>
          <w:tab w:val="num" w:pos="0"/>
        </w:tabs>
        <w:ind w:left="1830" w:hanging="1440"/>
      </w:pPr>
    </w:lvl>
    <w:lvl w:ilvl="7">
      <w:start w:val="1"/>
      <w:numFmt w:val="decimal"/>
      <w:lvlText w:val="%1.%2.%3.%4.%5.%6.%7.%8."/>
      <w:lvlJc w:val="left"/>
      <w:pPr>
        <w:tabs>
          <w:tab w:val="num" w:pos="0"/>
        </w:tabs>
        <w:ind w:left="1830" w:hanging="1440"/>
      </w:pPr>
    </w:lvl>
    <w:lvl w:ilvl="8">
      <w:start w:val="1"/>
      <w:numFmt w:val="decimal"/>
      <w:lvlText w:val="%1.%2.%3.%4.%5.%6.%7.%8.%9."/>
      <w:lvlJc w:val="left"/>
      <w:pPr>
        <w:tabs>
          <w:tab w:val="num" w:pos="0"/>
        </w:tabs>
        <w:ind w:left="2190" w:hanging="1800"/>
      </w:pPr>
    </w:lvl>
  </w:abstractNum>
  <w:abstractNum w:abstractNumId="9" w15:restartNumberingAfterBreak="0">
    <w:nsid w:val="78C569A1"/>
    <w:multiLevelType w:val="multilevel"/>
    <w:tmpl w:val="40D0C93E"/>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0" w15:restartNumberingAfterBreak="0">
    <w:nsid w:val="7A0E3424"/>
    <w:multiLevelType w:val="multilevel"/>
    <w:tmpl w:val="08D4F572"/>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num w:numId="1" w16cid:durableId="33772987">
    <w:abstractNumId w:val="5"/>
  </w:num>
  <w:num w:numId="2" w16cid:durableId="250771952">
    <w:abstractNumId w:val="3"/>
  </w:num>
  <w:num w:numId="3" w16cid:durableId="1974097141">
    <w:abstractNumId w:val="7"/>
  </w:num>
  <w:num w:numId="4" w16cid:durableId="236138603">
    <w:abstractNumId w:val="9"/>
  </w:num>
  <w:num w:numId="5" w16cid:durableId="1276449063">
    <w:abstractNumId w:val="10"/>
  </w:num>
  <w:num w:numId="6" w16cid:durableId="1175877823">
    <w:abstractNumId w:val="0"/>
  </w:num>
  <w:num w:numId="7" w16cid:durableId="611713761">
    <w:abstractNumId w:val="4"/>
  </w:num>
  <w:num w:numId="8" w16cid:durableId="544022837">
    <w:abstractNumId w:val="8"/>
  </w:num>
  <w:num w:numId="9" w16cid:durableId="1933976004">
    <w:abstractNumId w:val="2"/>
  </w:num>
  <w:num w:numId="10" w16cid:durableId="2131511721">
    <w:abstractNumId w:val="6"/>
  </w:num>
  <w:num w:numId="11" w16cid:durableId="1342009554">
    <w:abstractNumId w:val="1"/>
  </w:num>
  <w:num w:numId="12" w16cid:durableId="1266231635">
    <w:abstractNumId w:val="7"/>
    <w:lvlOverride w:ilvl="0">
      <w:startOverride w:val="1"/>
    </w:lvlOverride>
  </w:num>
  <w:num w:numId="13" w16cid:durableId="1067268243">
    <w:abstractNumId w:val="7"/>
  </w:num>
  <w:num w:numId="14" w16cid:durableId="2062094506">
    <w:abstractNumId w:val="7"/>
  </w:num>
  <w:num w:numId="15" w16cid:durableId="417949306">
    <w:abstractNumId w:val="7"/>
  </w:num>
  <w:num w:numId="16" w16cid:durableId="87192084">
    <w:abstractNumId w:val="7"/>
  </w:num>
  <w:num w:numId="17" w16cid:durableId="1397556659">
    <w:abstractNumId w:val="8"/>
    <w:lvlOverride w:ilvl="0">
      <w:startOverride w:val="1"/>
    </w:lvlOverride>
  </w:num>
  <w:num w:numId="18" w16cid:durableId="139883432">
    <w:abstractNumId w:val="8"/>
  </w:num>
  <w:num w:numId="19" w16cid:durableId="609973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7411A"/>
    <w:rsid w:val="00415590"/>
    <w:rsid w:val="0047151B"/>
    <w:rsid w:val="006F0B1F"/>
    <w:rsid w:val="00AC3B65"/>
    <w:rsid w:val="00D7411A"/>
    <w:rsid w:val="00F01139"/>
    <w:rsid w:val="00FD5506"/>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3198"/>
  <w15:docId w15:val="{547E3B4E-7CB0-4C2C-B110-B168D269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27C"/>
    <w:pPr>
      <w:spacing w:after="160" w:line="252" w:lineRule="auto"/>
    </w:pPr>
    <w:rPr>
      <w:rFonts w:ascii="Calibri" w:eastAsia="SimSun" w:hAnsi="Calibri" w:cs="Calibri"/>
      <w:kern w:val="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rakstzmes">
    <w:name w:val="Vēres rakstzīmes"/>
    <w:qFormat/>
    <w:rsid w:val="003B5AE6"/>
    <w:rPr>
      <w:vertAlign w:val="superscript"/>
    </w:rPr>
  </w:style>
  <w:style w:type="character" w:styleId="Vresatsauce">
    <w:name w:val="footnote reference"/>
    <w:rPr>
      <w:vertAlign w:val="superscript"/>
    </w:rPr>
  </w:style>
  <w:style w:type="character" w:customStyle="1" w:styleId="FootnoteCharacters">
    <w:name w:val="Footnote Characters"/>
    <w:qFormat/>
    <w:rPr>
      <w:vertAlign w:val="superscript"/>
    </w:rPr>
  </w:style>
  <w:style w:type="character" w:customStyle="1" w:styleId="SarakstarindkopaRakstz">
    <w:name w:val="Saraksta rindkopa Rakstz."/>
    <w:link w:val="Sarakstarindkopa"/>
    <w:uiPriority w:val="34"/>
    <w:qFormat/>
    <w:locked/>
    <w:rsid w:val="005D027C"/>
    <w:rPr>
      <w:rFonts w:ascii="Calibri" w:eastAsia="SimSun" w:hAnsi="Calibri" w:cs="Calibri"/>
      <w:kern w:val="0"/>
      <w:lang w:eastAsia="ar-SA"/>
    </w:rPr>
  </w:style>
  <w:style w:type="character" w:styleId="Hipersaite">
    <w:name w:val="Hyperlink"/>
    <w:rsid w:val="00AF70DE"/>
    <w:rPr>
      <w:color w:val="0000FF"/>
      <w:u w:val="single"/>
    </w:rPr>
  </w:style>
  <w:style w:type="character" w:styleId="Izmantotahipersaite">
    <w:name w:val="FollowedHyperlink"/>
    <w:basedOn w:val="Noklusjumarindkopasfonts"/>
    <w:uiPriority w:val="99"/>
    <w:semiHidden/>
    <w:unhideWhenUsed/>
    <w:rsid w:val="00AF70DE"/>
    <w:rPr>
      <w:color w:val="954F72" w:themeColor="followedHyperlink"/>
      <w:u w:val="single"/>
    </w:rPr>
  </w:style>
  <w:style w:type="character" w:customStyle="1" w:styleId="PamattekstsaratkpiRakstz">
    <w:name w:val="Pamatteksts ar atkāpi Rakstz."/>
    <w:basedOn w:val="Noklusjumarindkopasfonts"/>
    <w:link w:val="Pamattekstsaratkpi"/>
    <w:uiPriority w:val="99"/>
    <w:semiHidden/>
    <w:qFormat/>
    <w:rsid w:val="005541CB"/>
    <w:rPr>
      <w:rFonts w:ascii="Times New Roman" w:eastAsia="Times New Roman" w:hAnsi="Times New Roman" w:cs="Times New Roman"/>
      <w:kern w:val="0"/>
      <w:sz w:val="20"/>
      <w:szCs w:val="20"/>
    </w:rPr>
  </w:style>
  <w:style w:type="character" w:styleId="Neatrisintapieminana">
    <w:name w:val="Unresolved Mention"/>
    <w:basedOn w:val="Noklusjumarindkopasfonts"/>
    <w:uiPriority w:val="99"/>
    <w:semiHidden/>
    <w:unhideWhenUsed/>
    <w:qFormat/>
    <w:rsid w:val="0047766C"/>
    <w:rPr>
      <w:color w:val="605E5C"/>
      <w:shd w:val="clear" w:color="auto" w:fill="E1DFDD"/>
    </w:rPr>
  </w:style>
  <w:style w:type="character" w:customStyle="1" w:styleId="Beiguvresrakstzme">
    <w:name w:val="Beigu vēres rakstzīme"/>
    <w:qFormat/>
    <w:rPr>
      <w:vertAlign w:val="superscript"/>
    </w:rPr>
  </w:style>
  <w:style w:type="character" w:styleId="Beiguvresatsauce">
    <w:name w:val="endnote reference"/>
    <w:rPr>
      <w:vertAlign w:val="superscript"/>
    </w:rPr>
  </w:style>
  <w:style w:type="character" w:customStyle="1" w:styleId="EndnoteCharacters">
    <w:name w:val="Endnote Characters"/>
    <w:qFormat/>
    <w:rPr>
      <w:vertAlign w:val="superscript"/>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sz w:val="24"/>
      <w:szCs w:val="24"/>
    </w:rPr>
  </w:style>
  <w:style w:type="paragraph" w:customStyle="1" w:styleId="Rdtjs">
    <w:name w:val="Rādītājs"/>
    <w:basedOn w:val="Parasts"/>
    <w:qFormat/>
    <w:pPr>
      <w:suppressLineNumbers/>
    </w:pPr>
    <w:rPr>
      <w:rFonts w:cs="Mangal"/>
    </w:rPr>
  </w:style>
  <w:style w:type="paragraph" w:styleId="Sarakstarindkopa">
    <w:name w:val="List Paragraph"/>
    <w:basedOn w:val="Parasts"/>
    <w:link w:val="SarakstarindkopaRakstz"/>
    <w:qFormat/>
    <w:rsid w:val="005D027C"/>
    <w:pPr>
      <w:ind w:left="720"/>
    </w:pPr>
  </w:style>
  <w:style w:type="paragraph" w:styleId="Bezatstarpm">
    <w:name w:val="No Spacing"/>
    <w:uiPriority w:val="1"/>
    <w:qFormat/>
    <w:rsid w:val="008158DD"/>
    <w:rPr>
      <w:rFonts w:ascii="Calibri" w:eastAsia="Calibri" w:hAnsi="Calibri" w:cs="Times New Roman"/>
      <w:kern w:val="0"/>
    </w:rPr>
  </w:style>
  <w:style w:type="paragraph" w:styleId="Paraststmeklis">
    <w:name w:val="Normal (Web)"/>
    <w:basedOn w:val="Parasts"/>
    <w:uiPriority w:val="99"/>
    <w:qFormat/>
    <w:rsid w:val="0090346F"/>
    <w:pPr>
      <w:suppressAutoHyphens w:val="0"/>
      <w:spacing w:before="100" w:after="0" w:line="240" w:lineRule="auto"/>
    </w:pPr>
    <w:rPr>
      <w:rFonts w:ascii="Times New Roman" w:eastAsia="Times New Roman" w:hAnsi="Times New Roman" w:cs="Times New Roman"/>
      <w:sz w:val="24"/>
      <w:szCs w:val="24"/>
      <w:lang w:eastAsia="en-US"/>
    </w:rPr>
  </w:style>
  <w:style w:type="paragraph" w:styleId="Pamattekstsaratkpi">
    <w:name w:val="Body Text Indent"/>
    <w:basedOn w:val="Parasts"/>
    <w:link w:val="PamattekstsaratkpiRakstz"/>
    <w:uiPriority w:val="99"/>
    <w:semiHidden/>
    <w:unhideWhenUsed/>
    <w:rsid w:val="005541CB"/>
    <w:pPr>
      <w:suppressAutoHyphens w:val="0"/>
      <w:spacing w:before="120" w:after="120" w:line="240" w:lineRule="auto"/>
      <w:ind w:left="283"/>
    </w:pPr>
    <w:rPr>
      <w:rFonts w:ascii="Times New Roman" w:eastAsia="Times New Roman" w:hAnsi="Times New Roman" w:cs="Times New Roman"/>
      <w:sz w:val="20"/>
      <w:szCs w:val="20"/>
      <w:lang w:eastAsia="en-US"/>
    </w:rPr>
  </w:style>
  <w:style w:type="paragraph" w:customStyle="1" w:styleId="naiskr">
    <w:name w:val="naiskr"/>
    <w:basedOn w:val="Parasts"/>
    <w:qFormat/>
    <w:rsid w:val="003B5AE6"/>
    <w:pPr>
      <w:spacing w:before="75" w:after="75" w:line="240" w:lineRule="auto"/>
    </w:pPr>
    <w:rPr>
      <w:rFonts w:ascii="Times New Roman" w:eastAsia="Times New Roman" w:hAnsi="Times New Roman" w:cs="Times New Roman"/>
      <w:sz w:val="24"/>
      <w:szCs w:val="24"/>
      <w:lang w:eastAsia="lv-LV"/>
    </w:rPr>
  </w:style>
  <w:style w:type="paragraph" w:customStyle="1" w:styleId="Style1">
    <w:name w:val="Style1"/>
    <w:qFormat/>
    <w:rsid w:val="00B822E3"/>
    <w:pPr>
      <w:widowControl w:val="0"/>
      <w:numPr>
        <w:numId w:val="1"/>
      </w:numPr>
      <w:spacing w:line="259" w:lineRule="auto"/>
      <w:jc w:val="both"/>
    </w:pPr>
    <w:rPr>
      <w:rFonts w:ascii="Times New Roman" w:eastAsia="Tw Cen MT" w:hAnsi="Times New Roman" w:cs="Times New Roman"/>
      <w:iCs/>
      <w:color w:val="000000"/>
      <w:kern w:val="0"/>
      <w:shd w:val="clear" w:color="auto" w:fill="FFFFFF"/>
    </w:rPr>
  </w:style>
  <w:style w:type="paragraph" w:styleId="Vresteksts">
    <w:name w:val="footnote text"/>
    <w:basedOn w:val="Paras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B3CB-2F3A-44F3-8A74-A7E91F46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1973</Words>
  <Characters>1126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dc:description/>
  <cp:lastModifiedBy>Kaspars</cp:lastModifiedBy>
  <cp:revision>138</cp:revision>
  <dcterms:created xsi:type="dcterms:W3CDTF">2023-07-02T15:29:00Z</dcterms:created>
  <dcterms:modified xsi:type="dcterms:W3CDTF">2025-01-10T07:49:00Z</dcterms:modified>
  <dc:language>lv-LV</dc:language>
</cp:coreProperties>
</file>